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C0" w:rsidRDefault="00902647" w:rsidP="00F32BEF">
      <w:pPr>
        <w:tabs>
          <w:tab w:val="left" w:pos="450"/>
          <w:tab w:val="center" w:pos="4513"/>
        </w:tabs>
        <w:spacing w:line="360" w:lineRule="auto"/>
        <w:jc w:val="center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 w:rsidRPr="00B06E93">
        <w:rPr>
          <w:rFonts w:ascii="Abadi" w:hAnsi="Abadi" w:cs="Arial"/>
          <w:b/>
          <w:bCs/>
          <w:sz w:val="24"/>
          <w:szCs w:val="24"/>
          <w:u w:val="single"/>
          <w:lang w:val="en-US"/>
        </w:rPr>
        <w:t xml:space="preserve">ANNUAL CLOSURE OF ACCOUNTS WITH GST PERSPECTIVE FY 2022 </w:t>
      </w:r>
      <w:r>
        <w:rPr>
          <w:rFonts w:ascii="Abadi" w:hAnsi="Abadi" w:cs="Arial"/>
          <w:b/>
          <w:bCs/>
          <w:sz w:val="24"/>
          <w:szCs w:val="24"/>
          <w:u w:val="single"/>
          <w:lang w:val="en-US"/>
        </w:rPr>
        <w:t>–</w:t>
      </w:r>
      <w:r w:rsidRPr="00B06E93">
        <w:rPr>
          <w:rFonts w:ascii="Abadi" w:hAnsi="Abadi" w:cs="Arial"/>
          <w:b/>
          <w:bCs/>
          <w:sz w:val="24"/>
          <w:szCs w:val="24"/>
          <w:u w:val="single"/>
          <w:lang w:val="en-US"/>
        </w:rPr>
        <w:t xml:space="preserve"> 23</w:t>
      </w:r>
    </w:p>
    <w:p w:rsidR="00F32BEF" w:rsidRPr="00F32BEF" w:rsidRDefault="00F32BEF" w:rsidP="00F32BEF">
      <w:pPr>
        <w:tabs>
          <w:tab w:val="left" w:pos="450"/>
          <w:tab w:val="center" w:pos="4513"/>
        </w:tabs>
        <w:spacing w:line="360" w:lineRule="auto"/>
        <w:jc w:val="center"/>
        <w:rPr>
          <w:rFonts w:ascii="Abadi" w:hAnsi="Abadi" w:cs="Arial"/>
          <w:b/>
          <w:bCs/>
          <w:sz w:val="24"/>
          <w:szCs w:val="24"/>
          <w:lang w:val="en-US"/>
        </w:rPr>
      </w:pPr>
      <w:r w:rsidRPr="00F32BEF">
        <w:rPr>
          <w:rFonts w:ascii="Abadi" w:hAnsi="Abadi" w:cs="Arial"/>
          <w:b/>
          <w:bCs/>
          <w:sz w:val="24"/>
          <w:szCs w:val="24"/>
          <w:lang w:val="en-US"/>
        </w:rPr>
        <w:t xml:space="preserve">CA. </w:t>
      </w:r>
      <w:proofErr w:type="spellStart"/>
      <w:r w:rsidRPr="00F32BEF">
        <w:rPr>
          <w:rFonts w:ascii="Abadi" w:hAnsi="Abadi" w:cs="Arial"/>
          <w:b/>
          <w:bCs/>
          <w:sz w:val="24"/>
          <w:szCs w:val="24"/>
          <w:lang w:val="en-US"/>
        </w:rPr>
        <w:t>Rajendra</w:t>
      </w:r>
      <w:proofErr w:type="spellEnd"/>
      <w:r w:rsidRPr="00F32BEF">
        <w:rPr>
          <w:rFonts w:ascii="Abadi" w:hAnsi="Abadi" w:cs="Arial"/>
          <w:b/>
          <w:bCs/>
          <w:sz w:val="24"/>
          <w:szCs w:val="24"/>
          <w:lang w:val="en-US"/>
        </w:rPr>
        <w:t xml:space="preserve"> Kumar. P</w:t>
      </w:r>
    </w:p>
    <w:p w:rsidR="00050837" w:rsidRPr="00B06E93" w:rsidRDefault="00050837" w:rsidP="00E4666C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 w:rsidRPr="00B06E93">
        <w:rPr>
          <w:rFonts w:ascii="Abadi" w:hAnsi="Abadi" w:cs="Arial"/>
          <w:b/>
          <w:bCs/>
          <w:sz w:val="24"/>
          <w:szCs w:val="24"/>
          <w:u w:val="single"/>
          <w:lang w:val="en-US"/>
        </w:rPr>
        <w:t>Matters Connected to Inward Supplies:</w:t>
      </w:r>
    </w:p>
    <w:p w:rsidR="00050837" w:rsidRPr="00B06E93" w:rsidRDefault="00050837" w:rsidP="0090264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>Reconciliation of credit in Books of Accounts V/s. Form GSTR 2B – the closing balance of the ITC ledger matches with the balance in the E-Credit ledger – Credit not appearing in Form GSTR 2B should be reported in a separate ledger and reported in entry 12 of the Form GSTR 9.</w:t>
      </w:r>
    </w:p>
    <w:p w:rsidR="00E11E1B" w:rsidRPr="00B06E93" w:rsidRDefault="00E11E1B" w:rsidP="0090264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badi" w:hAnsi="Abadi" w:cs="Arial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Examination of eligibility of </w:t>
      </w:r>
      <w:r w:rsidR="00203306">
        <w:rPr>
          <w:rFonts w:ascii="Abadi" w:hAnsi="Abadi"/>
          <w:sz w:val="24"/>
          <w:szCs w:val="24"/>
          <w:lang w:val="en-US"/>
        </w:rPr>
        <w:t>c</w:t>
      </w:r>
      <w:r w:rsidRPr="00B06E93">
        <w:rPr>
          <w:rFonts w:ascii="Abadi" w:hAnsi="Abadi"/>
          <w:sz w:val="24"/>
          <w:szCs w:val="24"/>
          <w:lang w:val="en-US"/>
        </w:rPr>
        <w:t>redit availed as ITC.</w:t>
      </w:r>
    </w:p>
    <w:p w:rsidR="00E11E1B" w:rsidRPr="00B06E93" w:rsidRDefault="00E11E1B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>Reversal of ITC with interest for non-payment to the supplier within 180 days.</w:t>
      </w:r>
    </w:p>
    <w:p w:rsidR="00E11E1B" w:rsidRPr="00B06E93" w:rsidRDefault="00E11E1B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Reversal of </w:t>
      </w:r>
      <w:r w:rsidR="00203306" w:rsidRPr="00B06E93">
        <w:rPr>
          <w:rFonts w:ascii="Abadi" w:hAnsi="Abadi"/>
          <w:sz w:val="24"/>
          <w:szCs w:val="24"/>
          <w:lang w:val="en-US"/>
        </w:rPr>
        <w:t xml:space="preserve">common </w:t>
      </w:r>
      <w:r w:rsidRPr="00B06E93">
        <w:rPr>
          <w:rFonts w:ascii="Abadi" w:hAnsi="Abadi"/>
          <w:sz w:val="24"/>
          <w:szCs w:val="24"/>
          <w:lang w:val="en-US"/>
        </w:rPr>
        <w:t>ITC, when the same is attributed to Taxable and Exempted Supply.</w:t>
      </w:r>
    </w:p>
    <w:p w:rsidR="00E11E1B" w:rsidRPr="00B06E93" w:rsidRDefault="00614BC0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Compliance </w:t>
      </w:r>
      <w:r w:rsidR="00D763ED" w:rsidRPr="00B06E93">
        <w:rPr>
          <w:rFonts w:ascii="Abadi" w:hAnsi="Abadi"/>
          <w:sz w:val="24"/>
          <w:szCs w:val="24"/>
          <w:lang w:val="en-US"/>
        </w:rPr>
        <w:t>under section 16 (3)</w:t>
      </w:r>
      <w:r w:rsidR="00050837" w:rsidRPr="00B06E93">
        <w:rPr>
          <w:rFonts w:ascii="Abadi" w:hAnsi="Abadi"/>
          <w:sz w:val="24"/>
          <w:szCs w:val="24"/>
          <w:lang w:val="en-US"/>
        </w:rPr>
        <w:t xml:space="preserve"> – </w:t>
      </w:r>
      <w:r w:rsidR="00443449" w:rsidRPr="00B06E93">
        <w:rPr>
          <w:rFonts w:ascii="Abadi" w:hAnsi="Abadi"/>
          <w:sz w:val="24"/>
          <w:szCs w:val="24"/>
          <w:lang w:val="en-US"/>
        </w:rPr>
        <w:t xml:space="preserve">Both depreciation and ITC on capital goods has not been claimed. </w:t>
      </w:r>
    </w:p>
    <w:p w:rsidR="00050837" w:rsidRPr="00B06E93" w:rsidRDefault="00050837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Compliance under section 16 (4) – </w:t>
      </w:r>
      <w:r w:rsidR="00203306" w:rsidRPr="00B06E93">
        <w:rPr>
          <w:rFonts w:ascii="Abadi" w:hAnsi="Abadi"/>
          <w:sz w:val="24"/>
          <w:szCs w:val="24"/>
          <w:lang w:val="en-US"/>
        </w:rPr>
        <w:t xml:space="preserve">Whether </w:t>
      </w:r>
      <w:r w:rsidR="00B72B03" w:rsidRPr="00B06E93">
        <w:rPr>
          <w:rFonts w:ascii="Abadi" w:hAnsi="Abadi"/>
          <w:sz w:val="24"/>
          <w:szCs w:val="24"/>
          <w:lang w:val="en-US"/>
        </w:rPr>
        <w:t>ITC for FY 2021-22 claimed in FY 2022-23 within the time limit prescribed i.e., 30</w:t>
      </w:r>
      <w:r w:rsidR="00B72B03" w:rsidRPr="00B06E93">
        <w:rPr>
          <w:rFonts w:ascii="Abadi" w:hAnsi="Abadi"/>
          <w:sz w:val="24"/>
          <w:szCs w:val="24"/>
          <w:vertAlign w:val="superscript"/>
          <w:lang w:val="en-US"/>
        </w:rPr>
        <w:t>th</w:t>
      </w:r>
      <w:r w:rsidR="00B72B03" w:rsidRPr="00B06E93">
        <w:rPr>
          <w:rFonts w:ascii="Abadi" w:hAnsi="Abadi"/>
          <w:sz w:val="24"/>
          <w:szCs w:val="24"/>
          <w:lang w:val="en-US"/>
        </w:rPr>
        <w:t xml:space="preserve"> November 2022.</w:t>
      </w:r>
    </w:p>
    <w:p w:rsidR="00050837" w:rsidRDefault="00050837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>ISD –</w:t>
      </w:r>
      <w:r w:rsidR="00CC7304" w:rsidRPr="00B06E93">
        <w:rPr>
          <w:rFonts w:ascii="Abadi" w:hAnsi="Abadi"/>
          <w:sz w:val="24"/>
          <w:szCs w:val="24"/>
          <w:lang w:val="en-US"/>
        </w:rPr>
        <w:t xml:space="preserve"> </w:t>
      </w:r>
      <w:r w:rsidR="00203306">
        <w:rPr>
          <w:rFonts w:ascii="Abadi" w:hAnsi="Abadi"/>
          <w:sz w:val="24"/>
          <w:szCs w:val="24"/>
          <w:lang w:val="en-US"/>
        </w:rPr>
        <w:t>Distribution of ITC among the GSTIN with the same PAN has been done as per the prescribed rule.</w:t>
      </w:r>
    </w:p>
    <w:p w:rsidR="00800F23" w:rsidRDefault="00203306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Examination of e</w:t>
      </w:r>
      <w:r w:rsidR="00FD3E05" w:rsidRPr="00B06E93">
        <w:rPr>
          <w:rFonts w:ascii="Abadi" w:hAnsi="Abadi"/>
          <w:sz w:val="24"/>
          <w:szCs w:val="24"/>
          <w:lang w:val="en-US"/>
        </w:rPr>
        <w:t>xpenses</w:t>
      </w:r>
      <w:r>
        <w:rPr>
          <w:rFonts w:ascii="Abadi" w:hAnsi="Abadi"/>
          <w:sz w:val="24"/>
          <w:szCs w:val="24"/>
          <w:lang w:val="en-US"/>
        </w:rPr>
        <w:t xml:space="preserve">, which attracts RCM – payment of taxes – preparation of self-invoice when the supply is procured from an unregistered person – eligibility of ITC. </w:t>
      </w:r>
    </w:p>
    <w:p w:rsidR="00203306" w:rsidRPr="004A36F8" w:rsidRDefault="00203306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Provision for taxes payable – RCM not paid – Ineligible ITC availed – ITC claimed </w:t>
      </w:r>
      <w:r w:rsidR="003A3EA9">
        <w:rPr>
          <w:rFonts w:ascii="Abadi" w:hAnsi="Abadi"/>
          <w:sz w:val="24"/>
          <w:szCs w:val="24"/>
          <w:lang w:val="en-US"/>
        </w:rPr>
        <w:t>on</w:t>
      </w:r>
      <w:r>
        <w:rPr>
          <w:rFonts w:ascii="Abadi" w:hAnsi="Abadi"/>
          <w:sz w:val="24"/>
          <w:szCs w:val="24"/>
          <w:lang w:val="en-US"/>
        </w:rPr>
        <w:t xml:space="preserve"> the invoices not </w:t>
      </w:r>
      <w:r w:rsidR="003A3EA9">
        <w:rPr>
          <w:rFonts w:ascii="Abadi" w:hAnsi="Abadi"/>
          <w:sz w:val="24"/>
          <w:szCs w:val="24"/>
          <w:lang w:val="en-US"/>
        </w:rPr>
        <w:t>appearing</w:t>
      </w:r>
      <w:r>
        <w:rPr>
          <w:rFonts w:ascii="Abadi" w:hAnsi="Abadi"/>
          <w:sz w:val="24"/>
          <w:szCs w:val="24"/>
          <w:lang w:val="en-US"/>
        </w:rPr>
        <w:t xml:space="preserve"> in </w:t>
      </w:r>
      <w:r w:rsidR="003A3EA9">
        <w:rPr>
          <w:rFonts w:ascii="Abadi" w:hAnsi="Abadi"/>
          <w:sz w:val="24"/>
          <w:szCs w:val="24"/>
          <w:lang w:val="en-US"/>
        </w:rPr>
        <w:t>Form GSTR 2B.</w:t>
      </w:r>
      <w:r>
        <w:rPr>
          <w:rFonts w:ascii="Abadi" w:hAnsi="Abadi"/>
          <w:sz w:val="24"/>
          <w:szCs w:val="24"/>
          <w:lang w:val="en-US"/>
        </w:rPr>
        <w:t xml:space="preserve">  </w:t>
      </w:r>
    </w:p>
    <w:p w:rsidR="00824CB3" w:rsidRPr="00824CB3" w:rsidRDefault="0041257B" w:rsidP="004A36F8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>
        <w:rPr>
          <w:rFonts w:ascii="Abadi" w:hAnsi="Abadi" w:cs="Arial"/>
          <w:b/>
          <w:bCs/>
          <w:sz w:val="24"/>
          <w:szCs w:val="24"/>
          <w:u w:val="single"/>
          <w:lang w:val="en-US"/>
        </w:rPr>
        <w:t>Matters Connected to Outward</w:t>
      </w:r>
      <w:r w:rsidR="004A36F8" w:rsidRPr="004A36F8">
        <w:rPr>
          <w:rFonts w:ascii="Abadi" w:hAnsi="Abadi" w:cs="Arial"/>
          <w:b/>
          <w:bCs/>
          <w:sz w:val="24"/>
          <w:szCs w:val="24"/>
          <w:u w:val="single"/>
          <w:lang w:val="en-US"/>
        </w:rPr>
        <w:t xml:space="preserve"> Supplies</w:t>
      </w:r>
    </w:p>
    <w:p w:rsidR="003D3AE7" w:rsidRDefault="003D3AE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Check if HSN &amp; rates are appropriate.</w:t>
      </w:r>
    </w:p>
    <w:p w:rsidR="00853CD1" w:rsidRDefault="00853CD1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Applicability of E-invoicing </w:t>
      </w:r>
      <w:proofErr w:type="spellStart"/>
      <w:r>
        <w:rPr>
          <w:rFonts w:ascii="Abadi" w:hAnsi="Abadi"/>
          <w:sz w:val="24"/>
          <w:szCs w:val="24"/>
          <w:lang w:val="en-US"/>
        </w:rPr>
        <w:t>w.e.f</w:t>
      </w:r>
      <w:proofErr w:type="spellEnd"/>
      <w:r>
        <w:rPr>
          <w:rFonts w:ascii="Abadi" w:hAnsi="Abadi"/>
          <w:sz w:val="24"/>
          <w:szCs w:val="24"/>
          <w:lang w:val="en-US"/>
        </w:rPr>
        <w:t xml:space="preserve"> 01</w:t>
      </w:r>
      <w:r w:rsidRPr="00853CD1">
        <w:rPr>
          <w:rFonts w:ascii="Abadi" w:hAnsi="Abadi"/>
          <w:sz w:val="24"/>
          <w:szCs w:val="24"/>
          <w:vertAlign w:val="superscript"/>
          <w:lang w:val="en-US"/>
        </w:rPr>
        <w:t>st</w:t>
      </w:r>
      <w:r>
        <w:rPr>
          <w:rFonts w:ascii="Abadi" w:hAnsi="Abadi"/>
          <w:sz w:val="24"/>
          <w:szCs w:val="24"/>
          <w:lang w:val="en-US"/>
        </w:rPr>
        <w:t xml:space="preserve"> April 2023 if aggregate turnover in any of the preceding FY exceeds </w:t>
      </w:r>
      <w:proofErr w:type="spellStart"/>
      <w:r>
        <w:rPr>
          <w:rFonts w:ascii="Abadi" w:hAnsi="Abadi"/>
          <w:sz w:val="24"/>
          <w:szCs w:val="24"/>
          <w:lang w:val="en-US"/>
        </w:rPr>
        <w:t>Rs</w:t>
      </w:r>
      <w:proofErr w:type="spellEnd"/>
      <w:r>
        <w:rPr>
          <w:rFonts w:ascii="Abadi" w:hAnsi="Abadi"/>
          <w:sz w:val="24"/>
          <w:szCs w:val="24"/>
          <w:lang w:val="en-US"/>
        </w:rPr>
        <w:t xml:space="preserve">. 20 </w:t>
      </w:r>
      <w:proofErr w:type="spellStart"/>
      <w:r>
        <w:rPr>
          <w:rFonts w:ascii="Abadi" w:hAnsi="Abadi"/>
          <w:sz w:val="24"/>
          <w:szCs w:val="24"/>
          <w:lang w:val="en-US"/>
        </w:rPr>
        <w:t>crores</w:t>
      </w:r>
      <w:proofErr w:type="spellEnd"/>
      <w:r w:rsidR="0005636C">
        <w:rPr>
          <w:rFonts w:ascii="Abadi" w:hAnsi="Abadi"/>
          <w:sz w:val="24"/>
          <w:szCs w:val="24"/>
          <w:lang w:val="en-US"/>
        </w:rPr>
        <w:t xml:space="preserve">. </w:t>
      </w:r>
    </w:p>
    <w:p w:rsidR="00C54979" w:rsidRDefault="00824CB3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Reconciliation of turnover in Books of Accounts V/s. Form GSTR 1 &amp; GSTR 3B.</w:t>
      </w:r>
    </w:p>
    <w:p w:rsidR="00814454" w:rsidRPr="00D17F8A" w:rsidRDefault="00814454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Examine the correctness of the exemption claimed if any for </w:t>
      </w:r>
      <w:r w:rsidR="0035075A">
        <w:rPr>
          <w:rFonts w:ascii="Abadi" w:hAnsi="Abadi"/>
          <w:sz w:val="24"/>
          <w:szCs w:val="24"/>
          <w:lang w:val="en-US"/>
        </w:rPr>
        <w:t xml:space="preserve">the </w:t>
      </w:r>
      <w:r>
        <w:rPr>
          <w:rFonts w:ascii="Abadi" w:hAnsi="Abadi"/>
          <w:sz w:val="24"/>
          <w:szCs w:val="24"/>
          <w:lang w:val="en-US"/>
        </w:rPr>
        <w:t>supply of goods/services.</w:t>
      </w:r>
    </w:p>
    <w:p w:rsidR="004A36F8" w:rsidRDefault="00E11E1B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>Supply of Business Assets – Compliance to sec</w:t>
      </w:r>
      <w:r w:rsidR="004A36F8">
        <w:rPr>
          <w:rFonts w:ascii="Abadi" w:hAnsi="Abadi"/>
          <w:sz w:val="24"/>
          <w:szCs w:val="24"/>
          <w:lang w:val="en-US"/>
        </w:rPr>
        <w:t>tion 18 (6) read with rules 44</w:t>
      </w:r>
      <w:r w:rsidR="003D3AE7">
        <w:rPr>
          <w:rFonts w:ascii="Abadi" w:hAnsi="Abadi"/>
          <w:sz w:val="24"/>
          <w:szCs w:val="24"/>
          <w:lang w:val="en-US"/>
        </w:rPr>
        <w:t>.</w:t>
      </w:r>
    </w:p>
    <w:p w:rsidR="00ED2F8A" w:rsidRDefault="00ED2F8A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Analysis of other income to ascertain GST Liability in case of scrap sale, sale of fixed assets</w:t>
      </w:r>
      <w:r w:rsidR="003A3EA9">
        <w:rPr>
          <w:rFonts w:ascii="Abadi" w:hAnsi="Abadi"/>
          <w:sz w:val="24"/>
          <w:szCs w:val="24"/>
          <w:lang w:val="en-US"/>
        </w:rPr>
        <w:t>,</w:t>
      </w:r>
      <w:r>
        <w:rPr>
          <w:rFonts w:ascii="Abadi" w:hAnsi="Abadi"/>
          <w:sz w:val="24"/>
          <w:szCs w:val="24"/>
          <w:lang w:val="en-US"/>
        </w:rPr>
        <w:t xml:space="preserve"> or any other income.</w:t>
      </w:r>
    </w:p>
    <w:p w:rsidR="00AD1D3D" w:rsidRDefault="00AD1D3D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Review the position of goods sent </w:t>
      </w:r>
      <w:r w:rsidR="003A3EA9">
        <w:rPr>
          <w:rFonts w:ascii="Abadi" w:hAnsi="Abadi"/>
          <w:sz w:val="24"/>
          <w:szCs w:val="24"/>
          <w:lang w:val="en-US"/>
        </w:rPr>
        <w:t>for</w:t>
      </w:r>
      <w:r>
        <w:rPr>
          <w:rFonts w:ascii="Abadi" w:hAnsi="Abadi"/>
          <w:sz w:val="24"/>
          <w:szCs w:val="24"/>
          <w:lang w:val="en-US"/>
        </w:rPr>
        <w:t xml:space="preserve"> sale on </w:t>
      </w:r>
      <w:r w:rsidR="003A3EA9">
        <w:rPr>
          <w:rFonts w:ascii="Abadi" w:hAnsi="Abadi"/>
          <w:sz w:val="24"/>
          <w:szCs w:val="24"/>
          <w:lang w:val="en-US"/>
        </w:rPr>
        <w:t xml:space="preserve">an </w:t>
      </w:r>
      <w:r>
        <w:rPr>
          <w:rFonts w:ascii="Abadi" w:hAnsi="Abadi"/>
          <w:sz w:val="24"/>
          <w:szCs w:val="24"/>
          <w:lang w:val="en-US"/>
        </w:rPr>
        <w:t>approval basis.</w:t>
      </w:r>
    </w:p>
    <w:p w:rsidR="00814454" w:rsidRPr="00814454" w:rsidRDefault="008655BC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lastRenderedPageBreak/>
        <w:t xml:space="preserve">Job work </w:t>
      </w:r>
      <w:r w:rsidR="00AF28C0">
        <w:rPr>
          <w:rFonts w:ascii="Abadi" w:hAnsi="Abadi"/>
          <w:sz w:val="24"/>
          <w:szCs w:val="24"/>
          <w:lang w:val="en-US"/>
        </w:rPr>
        <w:t xml:space="preserve">– </w:t>
      </w:r>
      <w:r w:rsidR="003D3AE7">
        <w:rPr>
          <w:rFonts w:ascii="Abadi" w:hAnsi="Abadi"/>
          <w:sz w:val="24"/>
          <w:szCs w:val="24"/>
          <w:lang w:val="en-US"/>
        </w:rPr>
        <w:t xml:space="preserve">Maintenance of Stock Register – Maintenance of Job Work Register – Correctness of </w:t>
      </w:r>
      <w:r w:rsidR="00AF28C0">
        <w:rPr>
          <w:rFonts w:ascii="Abadi" w:hAnsi="Abadi"/>
          <w:sz w:val="24"/>
          <w:szCs w:val="24"/>
          <w:lang w:val="en-US"/>
        </w:rPr>
        <w:t xml:space="preserve">ITC 04 </w:t>
      </w:r>
      <w:r w:rsidR="003D3AE7">
        <w:rPr>
          <w:rFonts w:ascii="Abadi" w:hAnsi="Abadi"/>
          <w:sz w:val="24"/>
          <w:szCs w:val="24"/>
          <w:lang w:val="en-US"/>
        </w:rPr>
        <w:t>filed</w:t>
      </w:r>
      <w:r w:rsidR="00AF28C0">
        <w:rPr>
          <w:rFonts w:ascii="Abadi" w:hAnsi="Abadi"/>
          <w:sz w:val="24"/>
          <w:szCs w:val="24"/>
          <w:lang w:val="en-US"/>
        </w:rPr>
        <w:t>.</w:t>
      </w:r>
    </w:p>
    <w:p w:rsidR="00902647" w:rsidRDefault="003D3AE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Credit Notes are issued only for prescribed transactions: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Sales Returns of Goods.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 xml:space="preserve">Deficiency in </w:t>
      </w:r>
      <w:proofErr w:type="spellStart"/>
      <w:r w:rsidRPr="00902647">
        <w:rPr>
          <w:rFonts w:ascii="Abadi" w:hAnsi="Abadi"/>
          <w:sz w:val="24"/>
          <w:szCs w:val="24"/>
          <w:lang w:val="en-US"/>
        </w:rPr>
        <w:t>Qty</w:t>
      </w:r>
      <w:proofErr w:type="spellEnd"/>
      <w:r w:rsidRPr="00902647">
        <w:rPr>
          <w:rFonts w:ascii="Abadi" w:hAnsi="Abadi"/>
          <w:sz w:val="24"/>
          <w:szCs w:val="24"/>
          <w:lang w:val="en-US"/>
        </w:rPr>
        <w:t xml:space="preserve"> of Goods (reversal of 17 (5) (h) goods lost in transit).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Deficiency in Quality of Goods.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 xml:space="preserve">Deficiency in </w:t>
      </w:r>
      <w:proofErr w:type="spellStart"/>
      <w:r w:rsidRPr="00902647">
        <w:rPr>
          <w:rFonts w:ascii="Abadi" w:hAnsi="Abadi"/>
          <w:sz w:val="24"/>
          <w:szCs w:val="24"/>
          <w:lang w:val="en-US"/>
        </w:rPr>
        <w:t>Qty</w:t>
      </w:r>
      <w:proofErr w:type="spellEnd"/>
      <w:r w:rsidRPr="00902647">
        <w:rPr>
          <w:rFonts w:ascii="Abadi" w:hAnsi="Abadi"/>
          <w:sz w:val="24"/>
          <w:szCs w:val="24"/>
          <w:lang w:val="en-US"/>
        </w:rPr>
        <w:t xml:space="preserve"> of service (only where billing is done on man hours).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Change in GST Rate.</w:t>
      </w:r>
    </w:p>
    <w:p w:rsidR="003D3AE7" w:rsidRP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Change in Value.</w:t>
      </w:r>
    </w:p>
    <w:p w:rsidR="003D3AE7" w:rsidRDefault="003D3AE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In cases where Debit Notes have been issued – check whether interest has been paid.</w:t>
      </w:r>
    </w:p>
    <w:p w:rsidR="004A36F8" w:rsidRDefault="00D763ED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Sale of Motor Vehicle – N.N. 08/2018 C.T. (Rate): Tax is payable at </w:t>
      </w:r>
      <w:r w:rsidR="009F7297" w:rsidRPr="004A36F8">
        <w:rPr>
          <w:rFonts w:ascii="Abadi" w:hAnsi="Abadi"/>
          <w:sz w:val="24"/>
          <w:szCs w:val="24"/>
          <w:lang w:val="en-US"/>
        </w:rPr>
        <w:t xml:space="preserve">the </w:t>
      </w:r>
      <w:r w:rsidRPr="004A36F8">
        <w:rPr>
          <w:rFonts w:ascii="Abadi" w:hAnsi="Abadi"/>
          <w:sz w:val="24"/>
          <w:szCs w:val="24"/>
          <w:lang w:val="en-US"/>
        </w:rPr>
        <w:t xml:space="preserve">applicable rate only on </w:t>
      </w:r>
      <w:r w:rsidR="009F7297" w:rsidRPr="004A36F8">
        <w:rPr>
          <w:rFonts w:ascii="Abadi" w:hAnsi="Abadi"/>
          <w:sz w:val="24"/>
          <w:szCs w:val="24"/>
          <w:lang w:val="en-US"/>
        </w:rPr>
        <w:t xml:space="preserve">the </w:t>
      </w:r>
      <w:r w:rsidRPr="004A36F8">
        <w:rPr>
          <w:rFonts w:ascii="Abadi" w:hAnsi="Abadi"/>
          <w:sz w:val="24"/>
          <w:szCs w:val="24"/>
          <w:lang w:val="en-US"/>
        </w:rPr>
        <w:t>profit of such sales.</w:t>
      </w:r>
    </w:p>
    <w:p w:rsidR="004A36F8" w:rsidRDefault="00D763ED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>Verify the correctness of the value of supply in case of supply is between related/distinct persons.</w:t>
      </w:r>
    </w:p>
    <w:p w:rsidR="004A36F8" w:rsidRDefault="009F729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Verify Form GSTR 9 and Form GSTR 9C – to verify the </w:t>
      </w:r>
      <w:proofErr w:type="spellStart"/>
      <w:r w:rsidRPr="004A36F8">
        <w:rPr>
          <w:rFonts w:ascii="Abadi" w:hAnsi="Abadi"/>
          <w:sz w:val="24"/>
          <w:szCs w:val="24"/>
          <w:lang w:val="en-US"/>
        </w:rPr>
        <w:t>Unreconciled</w:t>
      </w:r>
      <w:proofErr w:type="spellEnd"/>
      <w:r w:rsidRPr="004A36F8">
        <w:rPr>
          <w:rFonts w:ascii="Abadi" w:hAnsi="Abadi"/>
          <w:sz w:val="24"/>
          <w:szCs w:val="24"/>
          <w:lang w:val="en-US"/>
        </w:rPr>
        <w:t xml:space="preserve"> outward &amp; Inward Supplies; check the correctness of the exemption claimed.  </w:t>
      </w:r>
    </w:p>
    <w:p w:rsidR="004A36F8" w:rsidRDefault="009F729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In the case of Export supplies – </w:t>
      </w:r>
      <w:r w:rsidR="00902647" w:rsidRPr="00081E03">
        <w:rPr>
          <w:rFonts w:ascii="Abadi" w:hAnsi="Abadi" w:cs="Arial"/>
          <w:bCs/>
          <w:sz w:val="24"/>
          <w:szCs w:val="24"/>
          <w:lang w:val="en-US"/>
        </w:rPr>
        <w:t xml:space="preserve">Check whether LUT is obtained in </w:t>
      </w:r>
      <w:r w:rsidR="00902647">
        <w:rPr>
          <w:rFonts w:ascii="Abadi" w:hAnsi="Abadi" w:cs="Arial"/>
          <w:bCs/>
          <w:sz w:val="24"/>
          <w:szCs w:val="24"/>
          <w:lang w:val="en-US"/>
        </w:rPr>
        <w:t xml:space="preserve">the </w:t>
      </w:r>
      <w:r w:rsidR="00902647" w:rsidRPr="00081E03">
        <w:rPr>
          <w:rFonts w:ascii="Abadi" w:hAnsi="Abadi" w:cs="Arial"/>
          <w:bCs/>
          <w:sz w:val="24"/>
          <w:szCs w:val="24"/>
          <w:lang w:val="en-US"/>
        </w:rPr>
        <w:t>case of Exports</w:t>
      </w:r>
      <w:r w:rsidR="00902647" w:rsidRPr="004A36F8">
        <w:rPr>
          <w:rFonts w:ascii="Abadi" w:hAnsi="Abadi"/>
          <w:sz w:val="24"/>
          <w:szCs w:val="24"/>
          <w:lang w:val="en-US"/>
        </w:rPr>
        <w:t xml:space="preserve"> </w:t>
      </w:r>
      <w:r w:rsidR="00902647">
        <w:rPr>
          <w:rFonts w:ascii="Abadi" w:hAnsi="Abadi"/>
          <w:sz w:val="24"/>
          <w:szCs w:val="24"/>
          <w:lang w:val="en-US"/>
        </w:rPr>
        <w:t xml:space="preserve">- </w:t>
      </w:r>
      <w:r w:rsidRPr="004A36F8">
        <w:rPr>
          <w:rFonts w:ascii="Abadi" w:hAnsi="Abadi"/>
          <w:sz w:val="24"/>
          <w:szCs w:val="24"/>
          <w:lang w:val="en-US"/>
        </w:rPr>
        <w:t>Kindly check the refund application filed. SCN and reply filed (if any). Besides the above compliance with rules 96A &amp; rule 96B.</w:t>
      </w:r>
    </w:p>
    <w:p w:rsidR="004A36F8" w:rsidRDefault="009F729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In the case of supplies to the unit in SEZ / SEZ developer – Kindly </w:t>
      </w:r>
      <w:r w:rsidR="00E4666C" w:rsidRPr="004A36F8">
        <w:rPr>
          <w:rFonts w:ascii="Abadi" w:hAnsi="Abadi"/>
          <w:sz w:val="24"/>
          <w:szCs w:val="24"/>
          <w:lang w:val="en-US"/>
        </w:rPr>
        <w:t xml:space="preserve">check for the </w:t>
      </w:r>
      <w:r w:rsidRPr="004A36F8">
        <w:rPr>
          <w:rFonts w:ascii="Abadi" w:hAnsi="Abadi"/>
          <w:sz w:val="24"/>
          <w:szCs w:val="24"/>
          <w:lang w:val="en-US"/>
        </w:rPr>
        <w:t xml:space="preserve">endorsement </w:t>
      </w:r>
      <w:r w:rsidR="003A3EA9">
        <w:rPr>
          <w:rFonts w:ascii="Abadi" w:hAnsi="Abadi"/>
          <w:sz w:val="24"/>
          <w:szCs w:val="24"/>
          <w:lang w:val="en-US"/>
        </w:rPr>
        <w:t xml:space="preserve">that </w:t>
      </w:r>
      <w:r w:rsidR="00E4666C" w:rsidRPr="004A36F8">
        <w:rPr>
          <w:rFonts w:ascii="Abadi" w:hAnsi="Abadi"/>
          <w:sz w:val="24"/>
          <w:szCs w:val="24"/>
          <w:lang w:val="en-US"/>
        </w:rPr>
        <w:t>has been obtained from the customs officer, stating that the supply was for the authorized operation.</w:t>
      </w:r>
    </w:p>
    <w:p w:rsidR="004A36F8" w:rsidRPr="00ED2F8A" w:rsidRDefault="00E4666C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Compliance to Notification No. 40/2017 C.T. (Rate) or 41/2017 I.T. (Rate) in case of </w:t>
      </w:r>
      <w:r w:rsidRPr="00ED2F8A">
        <w:rPr>
          <w:rFonts w:ascii="Abadi" w:hAnsi="Abadi"/>
          <w:bCs/>
          <w:sz w:val="24"/>
          <w:szCs w:val="24"/>
          <w:lang w:val="en-US"/>
        </w:rPr>
        <w:t xml:space="preserve">Merchant </w:t>
      </w:r>
      <w:proofErr w:type="gramStart"/>
      <w:r w:rsidRPr="00ED2F8A">
        <w:rPr>
          <w:rFonts w:ascii="Abadi" w:hAnsi="Abadi"/>
          <w:bCs/>
          <w:sz w:val="24"/>
          <w:szCs w:val="24"/>
          <w:lang w:val="en-US"/>
        </w:rPr>
        <w:t>export</w:t>
      </w:r>
      <w:proofErr w:type="gramEnd"/>
      <w:r w:rsidRPr="00ED2F8A">
        <w:rPr>
          <w:rFonts w:ascii="Abadi" w:hAnsi="Abadi"/>
          <w:sz w:val="24"/>
          <w:szCs w:val="24"/>
          <w:lang w:val="en-US"/>
        </w:rPr>
        <w:t>.</w:t>
      </w:r>
    </w:p>
    <w:p w:rsidR="00E4666C" w:rsidRDefault="00E4666C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>Verification of tax payment on Reverse Charge – provision for tax payable (if not paid).</w:t>
      </w:r>
    </w:p>
    <w:p w:rsidR="00F32BEF" w:rsidRPr="00F32BEF" w:rsidRDefault="00F32BEF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F32BEF">
        <w:rPr>
          <w:rFonts w:ascii="Abadi" w:hAnsi="Abadi"/>
          <w:sz w:val="24"/>
          <w:szCs w:val="24"/>
          <w:lang w:val="en-US"/>
        </w:rPr>
        <w:t>Permanent transfer or disposal of business assets where input tax credit has been availed on such assets</w:t>
      </w:r>
      <w:r>
        <w:rPr>
          <w:rFonts w:ascii="Abadi" w:hAnsi="Abadi"/>
          <w:sz w:val="24"/>
          <w:szCs w:val="24"/>
          <w:lang w:val="en-US"/>
        </w:rPr>
        <w:t>.</w:t>
      </w:r>
    </w:p>
    <w:p w:rsidR="00A67F1D" w:rsidRDefault="00A67F1D" w:rsidP="00A67F1D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>
        <w:rPr>
          <w:rFonts w:ascii="Abadi" w:hAnsi="Abadi" w:cs="Arial"/>
          <w:b/>
          <w:bCs/>
          <w:sz w:val="24"/>
          <w:szCs w:val="24"/>
          <w:u w:val="single"/>
          <w:lang w:val="en-US"/>
        </w:rPr>
        <w:t>Other points to be reviewed</w:t>
      </w:r>
    </w:p>
    <w:p w:rsidR="00902647" w:rsidRPr="000C6D81" w:rsidRDefault="00A67F1D" w:rsidP="009026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>
        <w:rPr>
          <w:rFonts w:ascii="Abadi" w:hAnsi="Abadi" w:cs="Arial"/>
          <w:bCs/>
          <w:sz w:val="24"/>
          <w:szCs w:val="24"/>
          <w:lang w:val="en-US"/>
        </w:rPr>
        <w:t>Verify whether there are any new branches or any other additional place of business and registration has been taken under GST.</w:t>
      </w:r>
    </w:p>
    <w:p w:rsidR="000C6D81" w:rsidRPr="00902647" w:rsidRDefault="000C6D81" w:rsidP="009026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0C6D81">
        <w:rPr>
          <w:rFonts w:ascii="Abadi" w:hAnsi="Abadi" w:cs="Arial"/>
          <w:bCs/>
          <w:sz w:val="24"/>
          <w:szCs w:val="24"/>
          <w:lang w:val="en-US"/>
        </w:rPr>
        <w:t>Review changes if any in Directors, Partners or Authorized Signatory</w:t>
      </w:r>
    </w:p>
    <w:sectPr w:rsidR="000C6D81" w:rsidRPr="00902647" w:rsidSect="00266EB2">
      <w:footerReference w:type="default" r:id="rId9"/>
      <w:pgSz w:w="11906" w:h="16838"/>
      <w:pgMar w:top="81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69" w:rsidRDefault="00673B69" w:rsidP="00E4666C">
      <w:pPr>
        <w:spacing w:after="0" w:line="240" w:lineRule="auto"/>
      </w:pPr>
      <w:r>
        <w:separator/>
      </w:r>
    </w:p>
  </w:endnote>
  <w:endnote w:type="continuationSeparator" w:id="0">
    <w:p w:rsidR="00673B69" w:rsidRDefault="00673B69" w:rsidP="00E4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62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647" w:rsidRDefault="009026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12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2647" w:rsidRDefault="0090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69" w:rsidRDefault="00673B69" w:rsidP="00E4666C">
      <w:pPr>
        <w:spacing w:after="0" w:line="240" w:lineRule="auto"/>
      </w:pPr>
      <w:r>
        <w:separator/>
      </w:r>
    </w:p>
  </w:footnote>
  <w:footnote w:type="continuationSeparator" w:id="0">
    <w:p w:rsidR="00673B69" w:rsidRDefault="00673B69" w:rsidP="00E4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96"/>
    <w:multiLevelType w:val="hybridMultilevel"/>
    <w:tmpl w:val="43068E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F480E"/>
    <w:multiLevelType w:val="hybridMultilevel"/>
    <w:tmpl w:val="0798C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49FD"/>
    <w:multiLevelType w:val="hybridMultilevel"/>
    <w:tmpl w:val="790E7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C12C9"/>
    <w:multiLevelType w:val="hybridMultilevel"/>
    <w:tmpl w:val="A2BC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BF5"/>
    <w:multiLevelType w:val="hybridMultilevel"/>
    <w:tmpl w:val="EB6E8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217B"/>
    <w:multiLevelType w:val="hybridMultilevel"/>
    <w:tmpl w:val="233C0096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1B"/>
    <w:rsid w:val="00050837"/>
    <w:rsid w:val="0005636C"/>
    <w:rsid w:val="00081E03"/>
    <w:rsid w:val="000B719A"/>
    <w:rsid w:val="000C6D81"/>
    <w:rsid w:val="000E0BBC"/>
    <w:rsid w:val="000E2955"/>
    <w:rsid w:val="00203306"/>
    <w:rsid w:val="0020639C"/>
    <w:rsid w:val="00266EB2"/>
    <w:rsid w:val="00312C60"/>
    <w:rsid w:val="0035075A"/>
    <w:rsid w:val="003A3EA9"/>
    <w:rsid w:val="003B4801"/>
    <w:rsid w:val="003D3AE7"/>
    <w:rsid w:val="003D6124"/>
    <w:rsid w:val="0041257B"/>
    <w:rsid w:val="00443449"/>
    <w:rsid w:val="00443CD9"/>
    <w:rsid w:val="004A36F8"/>
    <w:rsid w:val="00504D8F"/>
    <w:rsid w:val="005C0C5B"/>
    <w:rsid w:val="005E3109"/>
    <w:rsid w:val="006149BB"/>
    <w:rsid w:val="00614BC0"/>
    <w:rsid w:val="00643379"/>
    <w:rsid w:val="00660821"/>
    <w:rsid w:val="00673B69"/>
    <w:rsid w:val="00712FE4"/>
    <w:rsid w:val="00782112"/>
    <w:rsid w:val="00800F23"/>
    <w:rsid w:val="00814454"/>
    <w:rsid w:val="00824CB3"/>
    <w:rsid w:val="008343F9"/>
    <w:rsid w:val="00853CD1"/>
    <w:rsid w:val="008655BC"/>
    <w:rsid w:val="008C2BFC"/>
    <w:rsid w:val="008F2769"/>
    <w:rsid w:val="00902647"/>
    <w:rsid w:val="009A5092"/>
    <w:rsid w:val="009F7297"/>
    <w:rsid w:val="00A67F1D"/>
    <w:rsid w:val="00AD1D3D"/>
    <w:rsid w:val="00AF28C0"/>
    <w:rsid w:val="00B06E93"/>
    <w:rsid w:val="00B554A1"/>
    <w:rsid w:val="00B72B03"/>
    <w:rsid w:val="00BA3590"/>
    <w:rsid w:val="00C32224"/>
    <w:rsid w:val="00C54979"/>
    <w:rsid w:val="00CA3654"/>
    <w:rsid w:val="00CC7304"/>
    <w:rsid w:val="00D17F8A"/>
    <w:rsid w:val="00D21874"/>
    <w:rsid w:val="00D75A6E"/>
    <w:rsid w:val="00D763ED"/>
    <w:rsid w:val="00DF66B6"/>
    <w:rsid w:val="00E11E1B"/>
    <w:rsid w:val="00E4666C"/>
    <w:rsid w:val="00ED2F8A"/>
    <w:rsid w:val="00F32BEF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6C"/>
  </w:style>
  <w:style w:type="paragraph" w:styleId="Footer">
    <w:name w:val="footer"/>
    <w:basedOn w:val="Normal"/>
    <w:link w:val="FooterChar"/>
    <w:uiPriority w:val="99"/>
    <w:unhideWhenUsed/>
    <w:rsid w:val="00E4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6C"/>
  </w:style>
  <w:style w:type="paragraph" w:styleId="BalloonText">
    <w:name w:val="Balloon Text"/>
    <w:basedOn w:val="Normal"/>
    <w:link w:val="BalloonTextChar"/>
    <w:uiPriority w:val="99"/>
    <w:semiHidden/>
    <w:unhideWhenUsed/>
    <w:rsid w:val="008C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6C"/>
  </w:style>
  <w:style w:type="paragraph" w:styleId="Footer">
    <w:name w:val="footer"/>
    <w:basedOn w:val="Normal"/>
    <w:link w:val="FooterChar"/>
    <w:uiPriority w:val="99"/>
    <w:unhideWhenUsed/>
    <w:rsid w:val="00E4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6C"/>
  </w:style>
  <w:style w:type="paragraph" w:styleId="BalloonText">
    <w:name w:val="Balloon Text"/>
    <w:basedOn w:val="Normal"/>
    <w:link w:val="BalloonTextChar"/>
    <w:uiPriority w:val="99"/>
    <w:semiHidden/>
    <w:unhideWhenUsed/>
    <w:rsid w:val="008C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2721-36BB-4FF1-8F3D-86DE633C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 Shah and Associates</dc:creator>
  <cp:lastModifiedBy>admin</cp:lastModifiedBy>
  <cp:revision>2</cp:revision>
  <cp:lastPrinted>2023-03-22T08:57:00Z</cp:lastPrinted>
  <dcterms:created xsi:type="dcterms:W3CDTF">2023-03-22T09:07:00Z</dcterms:created>
  <dcterms:modified xsi:type="dcterms:W3CDTF">2023-03-22T09:07:00Z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cb896034-5fb3-4549-b636-0ceb12d91963</vt:lpwstr>
  </property>
</Properties>
</file>